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>452-АС/6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В ФОРМЕ АУКЦИОНА С ОТКРЫТОЙ ФОРМОЙ ПРЕДСТАВЛЕНИЯ ПРЕДЛОЖЕНИЙ О ЦЕНЕ (НА ПОНИЖЕНИЕ И ПОВЫШЕНИЕ НАЧАЛЬНОЙ ЦЕНЫ ПРОДАЖИ)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"14" сентября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Акционерное общество «Лизинговая компания «Азия корпорейшн»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452-АС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Аукцион с открытой формой представления предложений о цене (на понижение и повышение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Победителем торгов признается участник торгов, предложивший в ходе проведения торгов (представления предложений о цене) наиболее высокую цену за реализуемое имущество. В случаях, если не были представлены заявки на участие в торгах, к участию в торгах был допущен только один участник, ни один из участников торгов не сделал предложение о цене лота, торги признаются несостоявшимися.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Рассмотрение заявок на участие в торгах и подведение результатов торгов осуществляется в порядке, указанном в Информационном сообщении о проведении торгов. Результаты торгов подводятся в день проведения торгов (после завершения времени представления предложений о цене). Результаты торгов оформляются протоколом о результатах торгов, подписываемым и публикуемым организатором торгов на электронной площадке.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Дата подведения итогов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"17" сентября 2026 г. 16:00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500/173АЕ, 500/174АЕ (местонахождение: Карачаево-Черкесская Республика, г. Черкесск)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Дождевальные машины ДМ 500/110, год изготовления: 2025, изготовитель: ООО «Завод дождевальных машин» (РФ), количество: 2 единицы, серийные (заводские) номера: 500/173АЕ, 500/174АЕ. Технические характеристики: длина участка орошения, м -500; диаметр ПЭ-трубы, мм -110; оснащение пушкой/консолью - серийно/опционально; рабочее давление на входе в машину с пушкой/консолью, атм -9 / 7; площадь орошения с одной позиции, га -3,0-5,5; скорость перемещения штатива дождевателя, м/ч -5-200; диаметры форсунок набора дождевателя (5 шт) - 22-30; транспортная скорость, км/ч не более - 6; обслуживающий персонал, чел. - 1; необходимая мощность обслуживающего трактора, л.с.- 80; кол-во осей шасси - 1; расчетная нагрузка на 1 ДМ, га 22-30; дорожный просвет, мм – 320; конструктивная масса машины, кг -4380; габаритные размеры в транспортном положении, мм: длина: 7280, ширина: 2410, высота: 3700. Местонахождение реализуемого имущества: Карачаево-Черкесская Республика, г. Черкесск, ул. Шоссейная, д. 185. Дополнительная информация о состоянии лота и документы в отношении лота предоставляются по запросу.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7 140 000,00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(в том числе НДС).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Не подано ни одной заявки.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