
<file path=[Content_Types].xml><?xml version="1.0" encoding="utf-8"?>
<Types xmlns="http://schemas.openxmlformats.org/package/2006/content-types">
  <Default Extension="rels" ContentType="application/vnd.openxmlformats-package.relationships+xml"/>
  <Override ContentType="application/vnd.openxmlformats-officedocument.extended-properties+xml" PartName="/docProps/app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wordprocessingml.numbering+xml" PartName="/word/numbering.xml"/>
  <Override ContentType="application/vnd.openxmlformats-officedocument.wordprocessingml.settings+xml" PartName="/word/settings.xml"/>
  <Override ContentType="application/vnd.openxmlformats-officedocument.wordprocessingml.styles+xml" PartName="/word/styles.xml"/>
</Types>
</file>

<file path=_rels/.rels><?xml version="1.0" encoding="UTF-8" standalone="yes"?>
<Relationships xmlns="http://schemas.openxmlformats.org/package/2006/relationships">
    <Relationship Target="word/document.xml" Type="http://schemas.openxmlformats.org/officeDocument/2006/relationships/officeDocument" Id="rId1"/>
    <Relationship Target="docProps/core.xml" Type="http://schemas.openxmlformats.org/package/2006/relationships/metadata/core-properties" Id="rId2"/>
    <Relationship Target="docProps/app.xml" Type="http://schemas.openxmlformats.org/officeDocument/2006/relationships/extended-properties" Id="rId3"/>
</Relationships>

</file>

<file path=word/document.xml><?xml version="1.0" encoding="utf-8"?>
<w:document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body>
    <!-- Created by docx4j 8.2.0 (Apache licensed) using ORACLE_JRE JAXB in Oracle Java 1.8.0_251 on Windows Server 2016 --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ПРОТОКОЛ № </w:t>
      </w:r>
      <w:r>
        <w:rPr>
          <w:rFonts w:ascii="Times New Roman" w:hAnsi="Times New Roman"/>
          <w:b/>
          <w:i/>
          <w:color w:val="000000"/>
        </w:rPr>
        <w:t xml:space="preserve">401-ПП/5464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center"/>
      </w:pPr>
      <w:r>
        <w:rPr>
          <w:rFonts w:ascii="Times New Roman" w:hAnsi="Times New Roman"/>
          <w:b w:val="false"/>
          <w:i w:val="false"/>
          <w:color w:val="000000"/>
        </w:rPr>
        <w:t>О РЕЗУЛЬТАТАХ ТОРГОВ ПОСРЕДСТВОМ ПУБЛИЧНОГО ПРЕДЛОЖЕНИЯ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Дата подписания протокола:</w:t>
      </w:r>
      <w:r>
        <w:rPr>
          <w:rFonts w:ascii="Times New Roman" w:hAnsi="Times New Roman"/>
          <w:b/>
          <w:i/>
          <w:color w:val="000000"/>
        </w:rPr>
        <w:t xml:space="preserve"> "09" июля 2026 г.</w:t>
      </w:r>
    </w:p>
    <w:p>
      <w:pPr>
        <w:spacing w:before="269" w:after="269"/>
        <w:ind w:left="120"/>
        <w:jc w:val="left"/>
      </w:pP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>Настоящий протокол подписан в подтверждение следующего: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Организатор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Общество с ограниченной ответственностью «Доброторг»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Собственник:</w:t>
      </w:r>
      <w:r>
        <w:rPr>
          <w:rFonts w:ascii="Times New Roman" w:hAnsi="Times New Roman"/>
          <w:b/>
          <w:i/>
          <w:color w:val="000000"/>
        </w:rPr>
        <w:t xml:space="preserve"> Публичное акционерное общество «Челябэнергосбыт»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Идентификационный номер торгов:</w:t>
      </w:r>
      <w:r>
        <w:rPr>
          <w:rFonts w:ascii="Times New Roman" w:hAnsi="Times New Roman"/>
          <w:b/>
          <w:i/>
          <w:color w:val="000000"/>
        </w:rPr>
        <w:t xml:space="preserve"> 401-ПП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Форма проведения торгов и подачи предложений о цене: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Торги посредством публичного предложения (на понижение начальной цены продажи)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критерии определения победителя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Победитель торгов посредством публичного предложения определяется в следующем порядке: - 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имущества, которая не ниже начальной цены продажи имущества, установленной для определенного периода проведения торгов, при отсутствии предложений других участников торгов; - в случае, если несколько участников торгов представили в установленный срок заявки, содержащие различные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предложившему максимальную цену за это имущество; - в случае, если несколько участников торгов представили в установленный срок заявки, содержащие равные предложения о цене имущества, но не ниже начальной цены продажи имущества, установленной для определенного периода проведения торгов, право приобретения имущества принадлежит участнику торгов, который первым представил в установленный срок заявку на участие в торгах.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подведения результатов торгов: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Результаты торгов подводятся в течение 5 календарных дней после завершения периода торгов, на котором были поданы заявки на участие в торгах, допущенные к участию в торгах, а при отсутствии заявок - в течение 1 рабочего дня с даты окончания последнего периода торгов и размещаются на электронной площадке «Доброторг.рф» (https://доброторг.рф/).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Сообщение о проведении торгов опубликовано в Единый федеральный реестр сведений о банкротстве (сообщение №22265290) от "03" апреля 2026 г.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 w:val="false"/>
          <w:color w:val="000000"/>
        </w:rPr>
        <w:t xml:space="preserve">Лот № </w:t>
      </w:r>
      <w:r>
        <w:rPr>
          <w:rFonts w:ascii="Times New Roman" w:hAnsi="Times New Roman"/>
          <w:b/>
          <w:i/>
          <w:color w:val="000000"/>
        </w:rPr>
        <w:t xml:space="preserve"> 5464 </w:t>
      </w:r>
      <w:r>
        <w:rPr>
          <w:rFonts w:ascii="Times New Roman" w:hAnsi="Times New Roman"/>
          <w:b/>
          <w:i w:val="false"/>
          <w:color w:val="000000"/>
        </w:rPr>
        <w:t>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Предмет торгов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2905, местонахождение: г. Челябинск, ул. Горького, д. 64А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 xml:space="preserve"> Шкаф для бумаг, инвентарный номер: 2905, местонахождение: г. Челябинск, ул. Горького, д. 64А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Начальная цена продажи лота</w:t>
      </w:r>
      <w:r>
        <w:rPr>
          <w:rFonts w:ascii="Times New Roman" w:hAnsi="Times New Roman"/>
          <w:b w:val="false"/>
          <w:i w:val="false"/>
          <w:color w:val="000000"/>
        </w:rPr>
        <w:t xml:space="preserve">:  </w:t>
      </w:r>
      <w:r>
        <w:rPr>
          <w:rFonts w:ascii="Times New Roman" w:hAnsi="Times New Roman"/>
          <w:b/>
          <w:i/>
          <w:color w:val="000000"/>
        </w:rPr>
        <w:t xml:space="preserve"> 1556.00 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График снижения цены</w:t>
      </w:r>
      <w:r>
        <w:rPr>
          <w:rFonts w:ascii="Times New Roman" w:hAnsi="Times New Roman"/>
          <w:b w:val="false"/>
          <w:i w:val="false"/>
          <w:color w:val="000000"/>
        </w:rPr>
        <w:t>: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790"/>
        <w:gridCol w:w="5448"/>
        <w:gridCol w:w="5448"/>
        <w:gridCol w:w="1948"/>
      </w:tblGrid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№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начала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Дата окончания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04.05.2026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1556.0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07.05.2026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1400.40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1244.80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1089.20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933.60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778.00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622.40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25.05.2026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466.80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28.05.2026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30.05.2026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311.20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31.05.2026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155.60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140.04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124.48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13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09.06.2026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11.06.2026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108.92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12.06.2026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14.06.2026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93.36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77.80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16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62.24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17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23.06.2026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46.68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18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24.06.2026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26.06.2026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31.12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19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27.06.2026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29.06.2026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15.56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30.06.2026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02.07.2026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10.89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21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03.07.2026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05.07.2026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6.22</w:t>
            </w:r>
          </w:p>
        </w:tc>
      </w:tr>
      <w:tr>
        <w:trPr>
          <w:trHeight w:val="120" w:hRule="atLeast"/>
        </w:trPr>
        <w:tc>
          <w:tcPr>
            <w:tcW w:w="79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22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06.07.2026 09:00:00.000</w:t>
            </w:r>
          </w:p>
        </w:tc>
        <w:tc>
          <w:tcPr>
            <w:tcW w:w="54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08.07.2026 18:00:00.000</w:t>
            </w:r>
          </w:p>
        </w:tc>
        <w:tc>
          <w:tcPr>
            <w:tcW w:w="1948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1.55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В соответствии с протоколом № 401-ПП/5464 от "09" июля 2026 г. об определении участников торгов посредством публичного предложения участниками торгов являются следующие лица (далее – Участники торгов):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Шматков Антон Дмитриевич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(г. Челябинск, ул. Проспект Ленина, дом. 48, кв. 5)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"06" июля 2026 г., время: 09:57:49.495; 
   </w:t>
      </w:r>
    </w:p>
    <w:p>
      <w:pPr>
        <w:numPr>
          <w:ilvl w:val="0"/>
          <w:numId w:val="1"/>
        </w:num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 w:val="false"/>
          <w:i/>
          <w:color w:val="000000"/>
        </w:rPr>
        <w:t>(г Челябинск, ул Новороссийская, д 75, кв 2)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</w:p>
    <w:p>
      <w:pPr>
        <w:spacing w:before="0" w:after="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 Заявка принята: "07" июля 2026 г., время: 06:20:10.476; 
 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Участниками торгов представлены следующие предложения о цене имущества, составляющего Лот: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 </w:t>
      </w:r>
    </w:p>
    <w:tbl>
      <w:tblPr>
        <w:tblW w:w="0" w:type="auto"/>
        <w:tblCellSpacing w:w="0" w:type="auto"/>
        <w:tblInd w:w="115" w:type="dxa"/>
        <w:tblBorders>
          <w:top w:val="single" w:color="000000" w:sz="8"/>
          <w:left w:val="single" w:color="000000" w:sz="8"/>
          <w:bottom w:val="single" w:color="000000" w:sz="8"/>
          <w:right w:val="single" w:color="000000" w:sz="8"/>
          <w:insideH w:val="none"/>
          <w:insideV w:val="none"/>
        </w:tblBorders>
      </w:tblPr>
      <w:tblGrid>
        <w:gridCol w:w="10334"/>
        <w:gridCol w:w="2270"/>
        <w:gridCol w:w="1030"/>
      </w:tblGrid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Время подачи заявки на участие в торгах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Цена предложения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shd w:fill="ccccff"/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269" w:after="269"/>
              <w:ind w:left="177"/>
              <w:jc w:val="center"/>
            </w:pPr>
            <w:r>
              <w:rPr>
                <w:rFonts w:ascii="Times New Roman" w:hAnsi="Times New Roman"/>
                <w:b/>
                <w:i w:val="false"/>
                <w:color w:val="000000"/>
              </w:rPr>
              <w:t>Участник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"06" июля 2026 09:57:49.495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1,55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Шматков Антон Дмитриевич</w:t>
            </w:r>
          </w:p>
        </w:tc>
      </w:tr>
      <w:tr>
        <w:trPr>
          <w:trHeight w:val="120" w:hRule="atLeast"/>
        </w:trPr>
        <w:tc>
          <w:tcPr>
            <w:tcW w:w="10334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"07" июля 2026 06:20:10.476</w:t>
            </w:r>
          </w:p>
        </w:tc>
        <w:tc>
          <w:tcPr>
            <w:tcW w:w="227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9,10</w:t>
            </w:r>
          </w:p>
        </w:tc>
        <w:tc>
          <w:tcPr>
            <w:tcW w:w="1030" w:type="dxa"/>
            <w:tcBorders>
              <w:top w:val="single" w:color="000000" w:sz="8"/>
              <w:left w:val="single" w:color="000000" w:sz="8"/>
              <w:bottom w:val="single" w:color="000000" w:sz="8"/>
              <w:right w:val="single" w:color="000000" w:sz="8"/>
            </w:tcBorders>
            <w:tcMar>
              <w:top w:w="15" w:type="dxa"/>
              <w:left w:w="15" w:type="dxa"/>
              <w:bottom w:w="15" w:type="dxa"/>
              <w:right w:w="15" w:type="dxa"/>
            </w:tcMar>
            <w:vAlign w:val="center"/>
          </w:tcPr>
          <w:p>
            <w:pPr>
              <w:spacing w:before="0" w:after="0"/>
              <w:ind w:left="0"/>
              <w:jc w:val="left"/>
            </w:pPr>
            <w:r>
              <w:rPr>
                <w:rFonts w:ascii="Times New Roman" w:hAnsi="Times New Roman"/>
                <w:b w:val="false"/>
                <w:i w:val="false"/>
                <w:color w:val="000000"/>
              </w:rPr>
              <w:t>Федоров Александр Борисович</w:t>
            </w:r>
          </w:p>
        </w:tc>
      </w:tr>
    </w:tbl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Победителем торгов посредством публичного предложения признается участник торгов </w:t>
      </w:r>
      <w:r>
        <w:rPr>
          <w:rFonts w:ascii="Times New Roman" w:hAnsi="Times New Roman"/>
          <w:b/>
          <w:i/>
          <w:color w:val="000000"/>
        </w:rPr>
        <w:t>Федоров Александр Борисович</w:t>
      </w:r>
      <w:r>
        <w:rPr>
          <w:rFonts w:ascii="Times New Roman" w:hAnsi="Times New Roman"/>
          <w:b w:val="false"/>
          <w:i w:val="false"/>
          <w:color w:val="000000"/>
        </w:rPr>
        <w:t xml:space="preserve">, который представил заявку на участие в торгах, содержащую наибольшее предложение о цене приобретения имущества, составляющего Лот, в размере </w:t>
      </w:r>
      <w:r>
        <w:rPr>
          <w:rFonts w:ascii="Times New Roman" w:hAnsi="Times New Roman"/>
          <w:b/>
          <w:i/>
          <w:color w:val="000000"/>
        </w:rPr>
        <w:t xml:space="preserve">9.10 </w:t>
      </w:r>
      <w:r>
        <w:rPr>
          <w:rFonts w:ascii="Times New Roman" w:hAnsi="Times New Roman"/>
          <w:b w:val="false"/>
          <w:i w:val="false"/>
          <w:color w:val="000000"/>
        </w:rPr>
        <w:t>рублей (НДС не облагается).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Соответствующий период Графика снижения цены: период № </w:t>
      </w:r>
      <w:r>
        <w:rPr>
          <w:rFonts w:ascii="Times New Roman" w:hAnsi="Times New Roman"/>
          <w:b/>
          <w:i/>
          <w:color w:val="000000"/>
        </w:rPr>
        <w:t>22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начала периода – </w:t>
      </w:r>
      <w:r>
        <w:rPr>
          <w:rFonts w:ascii="Times New Roman" w:hAnsi="Times New Roman"/>
          <w:b/>
          <w:i/>
          <w:color w:val="000000"/>
        </w:rPr>
        <w:t>06.07.2026 09:00:00.000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дата и время окончания периода - </w:t>
      </w:r>
      <w:r>
        <w:rPr>
          <w:rFonts w:ascii="Times New Roman" w:hAnsi="Times New Roman"/>
          <w:b/>
          <w:i/>
          <w:color w:val="000000"/>
        </w:rPr>
        <w:t>08.07.2026 18:00:00.000</w:t>
      </w:r>
      <w:r>
        <w:rPr>
          <w:rFonts w:ascii="Times New Roman" w:hAnsi="Times New Roman"/>
          <w:b w:val="false"/>
          <w:i w:val="false"/>
          <w:color w:val="000000"/>
        </w:rPr>
        <w:t xml:space="preserve">, цена имущества, составляющего Лот – </w:t>
      </w:r>
      <w:r>
        <w:rPr>
          <w:rFonts w:ascii="Times New Roman" w:hAnsi="Times New Roman"/>
          <w:b/>
          <w:i/>
          <w:color w:val="000000"/>
        </w:rPr>
        <w:t>1.55</w:t>
      </w:r>
      <w:r>
        <w:rPr>
          <w:rFonts w:ascii="Times New Roman" w:hAnsi="Times New Roman"/>
          <w:b w:val="false"/>
          <w:i w:val="false"/>
          <w:color w:val="000000"/>
        </w:rPr>
        <w:t xml:space="preserve"> рублей (НДС не облагается)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Порядок и срок заключения договора купли-продажи</w:t>
      </w:r>
      <w:r>
        <w:rPr>
          <w:rFonts w:ascii="Times New Roman" w:hAnsi="Times New Roman"/>
          <w:b w:val="false"/>
          <w:i w:val="false"/>
          <w:color w:val="000000"/>
        </w:rPr>
        <w:t xml:space="preserve">: </w:t>
      </w:r>
      <w:r>
        <w:rPr>
          <w:rFonts w:ascii="Times New Roman" w:hAnsi="Times New Roman"/>
          <w:b/>
          <w:i/>
          <w:color w:val="000000"/>
        </w:rPr>
        <w:t xml:space="preserve"> В течение 5 (пяти) дней с даты подписания организатором торгов протокола о результатах проведения торгов конкурсный управляющий направляет победителю торгов предложение заключить договор купли-продажи имущества с приложением проекта данного договора в соответствии с представленным победителем торгов предложением о цене имущества. В случае отказа или уклонения победителя торгов от подписания договора купли-продажи в течение 5 (пяти) дней с даты получения указанного предложения конкурсного управляющего победитель торгов теряет право на приобретение имущества, конкурсный управляющий вправе предложить заключить договор купли-продажи имущества участнику торгов, которым предложена наиболее высокая цена имущества по сравнению с ценой, предложенной другими участниками торгов, за исключением победителя торгов. Указанное лицо рассматривает поступившее от конкурсного управляющего предложение о заключении договора купли-продажи имущества в течение 5 (пяти) дней с даты получения указанного предложения. В случае отказа или уклонения указанного лица от заключения договора купли-продажи имущества конкурсный управляющий предлагает заключить договор купли-продажи имущества участнику торгов, предложившему наиболее высокую цену имущества после участников торгов, отказавшихся от заключения договора купли-продажи имущества.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  <w:u w:val="single"/>
        </w:rPr>
        <w:t>Сроки платежей, реквизиты счетов, на которые вносятся платежи:</w:t>
      </w:r>
      <w:r>
        <w:rPr>
          <w:rFonts w:ascii="Times New Roman" w:hAnsi="Times New Roman"/>
          <w:b w:val="false"/>
          <w:i w:val="false"/>
          <w:color w:val="000000"/>
        </w:rPr>
        <w:t xml:space="preserve"> </w:t>
      </w:r>
      <w:r>
        <w:rPr>
          <w:rFonts w:ascii="Times New Roman" w:hAnsi="Times New Roman"/>
          <w:b/>
          <w:i/>
          <w:color w:val="000000"/>
        </w:rPr>
        <w:t xml:space="preserve"> Оплата приобретенного имущества производится в течение 5 (пяти) дней после заключения договора купли-продажи по реквизитам ПАО «Челябэнергосбыт» (ИНН 7451213318, КПП 745101001): р/с 40702810709280004532, в Филиале Банка ВТБ (ПАО) в г. Екатеринбурге, к/с 30101810400000000952, БИК 046577952. 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>Организатор торгов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/>
          <w:i/>
          <w:color w:val="000000"/>
        </w:rPr>
        <w:t>Общество с ограниченной ответственностью «Доброторг»</w:t>
      </w:r>
    </w:p>
    <w:p>
      <w:pPr>
        <w:spacing w:before="269" w:after="269"/>
        <w:ind w:left="120"/>
        <w:jc w:val="left"/>
      </w:pPr>
      <w:r>
        <w:rPr>
          <w:rFonts w:ascii="Times New Roman" w:hAnsi="Times New Roman"/>
          <w:b w:val="false"/>
          <w:i w:val="false"/>
          <w:color w:val="000000"/>
        </w:rPr>
        <w:t xml:space="preserve">__________________________ </w:t>
      </w:r>
    </w:p>
    <w:sectPr>
      <w:pgSz w:w="11907" w:h="16839" w:code="9"/>
      <w:pgMar w:top="1440" w:right="1440" w:bottom="1440" w:left="1440"/>
    </w:sectPr>
  </w:body>
</w:document>
</file>

<file path=word/numbering.xml><?xml version="1.0" encoding="utf-8"?>
<w:numbering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abstractNum w:abstractNumId="1">
    <w:multiLevelType w:val="multilevel"/>
    <w:lvl w:ilvl="0">
      <w:start w:val="1"/>
      <w:numFmt w:val="decimal"/>
      <w:lvlText w:val="%1."/>
      <w:lvlJc w:val="left"/>
      <w:pPr>
        <w:ind w:left="960" w:hanging="360"/>
      </w:pPr>
    </w:lvl>
  </w:abstractNum>
  <w:num w:numId="1">
    <w:abstractNumId w:val="1"/>
  </w:num>
</w:numbering>
</file>

<file path=word/settings.xml><?xml version="1.0" encoding="utf-8"?>
<w:setting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 mc:Ignorable="">
  <w:compat>
    <w:compatSetting w:name="overrideTableStyleFontSizeAndJustification" w:uri="http://schemas.microsoft.com/office/word" w:val="1"/>
  </w:compat>
</w:settings>
</file>

<file path=word/styles.xml><?xml version="1.0" encoding="utf-8"?>
<w:styles xmlns:w="http://schemas.openxmlformats.org/wordprocessingml/2006/main" xmlns:m="http://schemas.openxmlformats.org/officeDocument/2006/math" xmlns:w14="http://schemas.microsoft.com/office/word/2010/wordml" xmlns:r="http://schemas.openxmlformats.org/officeDocument/2006/relationships" xmlns:wp="http://schemas.openxmlformats.org/drawingml/2006/wordprocessingDrawing" xmlns:a="http://schemas.openxmlformats.org/drawingml/2006/main" xmlns:wp14="http://schemas.microsoft.com/office/word/2010/wordprocessingDrawing" xmlns:w15="http://schemas.microsoft.com/office/word/2012/wordml" xmlns:mc="http://schemas.openxmlformats.org/markup-compatibility/2006" xmlns:a14="http://schemas.microsoft.com/office/drawing/2010/main" xmlns:sl="http://schemas.openxmlformats.org/schemaLibrary/2006/main" xmlns:wne="http://schemas.microsoft.com/office/word/2006/wordml" xmlns:c="http://schemas.openxmlformats.org/drawingml/2006/chart" xmlns:cdr="http://schemas.openxmlformats.org/drawingml/2006/chartDrawing" xmlns:c14="http://schemas.microsoft.com/office/drawing/2007/8/2/chart" xmlns:dgm="http://schemas.openxmlformats.org/drawingml/2006/diagram" xmlns:pic="http://schemas.openxmlformats.org/drawingml/2006/picture" xmlns:xdr="http://schemas.openxmlformats.org/drawingml/2006/spreadsheetDrawing" xmlns:dsp="http://schemas.microsoft.com/office/drawing/2008/diagram" xmlns:xvml="urn:schemas-microsoft-com:office:excel" xmlns:o="urn:schemas-microsoft-com:office:office" xmlns:v="urn:schemas-microsoft-com:vml" xmlns:w10="urn:schemas-microsoft-com:office:word" xmlns:pvml="urn:schemas-microsoft-com:office:powerpoint" xmlns:cppr="http://schemas.microsoft.com/office/2006/coverPageProps" xmlns:odx="http://opendope.org/xpaths" xmlns:odc="http://opendope.org/conditions" xmlns:odq="http://opendope.org/questions" xmlns:oda="http://opendope.org/answers" xmlns:odi="http://opendope.org/components" xmlns:odgm="http://opendope.org/SmartArt/DataHierarchy" xmlns:b="http://schemas.openxmlformats.org/officeDocument/2006/bibliography" xmlns:msink="http://schemas.microsoft.com/ink/2010/main" xmlns:cdr14="http://schemas.microsoft.com/office/drawing/2010/chartDrawing" xmlns:c15="http://schemas.microsoft.com/office/drawing/2012/chart" xmlns:cs="http://schemas.microsoft.com/office/drawing/2012/chartStyle" xmlns:ns38="http://www.w3.org/1998/Math/MathML" xmlns:ns39="http://www.w3.org/2003/InkML" xmlns:a13cmd="http://schemas.microsoft.com/office/drawing/2013/main/command" xmlns:cx="http://schemas.microsoft.com/office/drawing/2014/chartex" xmlns:c16="http://schemas.microsoft.com/office/drawing/2014/chart" xmlns:dgm1611="http://schemas.microsoft.com/office/drawing/2016/11/diagram" xmlns:c173="http://schemas.microsoft.com/office/drawing/2017/03/chart" xmlns:am3d="http://schemas.microsoft.com/office/drawing/2017/model3d" xmlns:an18="http://schemas.microsoft.com/office/drawing/2018/animation" xmlns:anam3d="http://schemas.microsoft.com/office/drawing/2018/animation/model3d" xmlns:iact="http://schemas.microsoft.com/office/powerpoint/2014/inkAction" xmlns:thm15="http://schemas.microsoft.com/office/thememl/2012/main" xmlns:wps="http://schemas.microsoft.com/office/word/2010/wordprocessingShape" xmlns:wpc="http://schemas.microsoft.com/office/word/2010/wordprocessingCanvas" xmlns:wpg="http://schemas.microsoft.com/office/word/2010/wordprocessingGroup" xmlns:w16se="http://schemas.microsoft.com/office/word/2015/wordml/symex" xmlns:w16cid="http://schemas.microsoft.com/office/word/2016/wordml/cid" xmlns:wetp="http://schemas.microsoft.com/office/webextensions/taskpanes/2010/11" xmlns:we="http://schemas.microsoft.com/office/webextensions/webextension/2010/11" xmlns:comp="http://schemas.openxmlformats.org/drawingml/2006/compatibility" xmlns:lc="http://schemas.openxmlformats.org/drawingml/2006/lockedCanvas" xmlns:dgm14="http://schemas.microsoft.com/office/drawing/2010/diagram" xmlns:a15="http://schemas.microsoft.com/office/drawing/2012/main" xmlns:pic14="http://schemas.microsoft.com/office/drawing/2010/picture" xmlns:c16ac="http://schemas.microsoft.com/office/drawing/2014/chart/ac" xmlns:a16="http://schemas.microsoft.com/office/drawing/2014/main" xmlns:a1611="http://schemas.microsoft.com/office/drawing/2016/11/main" xmlns:dgm1612="http://schemas.microsoft.com/office/drawing/2016/12/diagram" xmlns:a16svg="http://schemas.microsoft.com/office/drawing/2016/SVG/main" xmlns:adec="http://schemas.microsoft.com/office/drawing/2017/decorative" xmlns:a18hc="http://schemas.microsoft.com/office/drawing/2018/hyperlinkcolor" xmlns:wp15="http://schemas.microsoft.com/office/word/2012/wordprocessingDrawing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false" w:defUIPriority="99" w:defSemiHidden="true" w:defUnhideWhenUsed="true" w:defQFormat="false" w:count="267">
    <w:lsdException w:name="Normal" w:uiPriority="0" w:semiHidden="false" w:unhideWhenUsed="false" w:qFormat="true"/>
    <w:lsdException w:name="heading 1" w:uiPriority="9" w:semiHidden="false" w:unhideWhenUsed="false" w:qFormat="true"/>
    <w:lsdException w:name="heading 2" w:uiPriority="9" w:qFormat="true"/>
    <w:lsdException w:name="heading 3" w:uiPriority="9" w:qFormat="true"/>
    <w:lsdException w:name="heading 4" w:uiPriority="9" w:qFormat="true"/>
    <w:lsdException w:name="Title" w:uiPriority="10" w:semiHidden="false" w:unhideWhenUsed="false" w:qFormat="true"/>
    <w:lsdException w:name="Default Paragraph Font" w:uiPriority="1"/>
    <w:lsdException w:name="Subtitle" w:uiPriority="11" w:semiHidden="false" w:unhideWhenUsed="false" w:qFormat="true"/>
    <w:lsdException w:name="Emphasis" w:uiPriority="20" w:semiHidden="false" w:unhideWhenUsed="false" w:qFormat="true"/>
    <w:lsdException w:name="Table Grid" w:uiPriority="59" w:semiHidden="false" w:unhideWhenUsed="false"/>
  </w:latentStyles>
  <w:style w:type="paragraph" w:styleId="Normal" w:default="true">
    <w:name w:val="Normal"/>
    <w:qFormat/>
    <w:rsid w:val="004A3277"/>
  </w:style>
  <w:style w:type="paragraph" w:styleId="Heading1">
    <w:name w:val="heading 1"/>
    <w:basedOn w:val="Normal"/>
    <w:next w:val="Normal"/>
    <w:link w:val="Heading1Char"/>
    <w:uiPriority w:val="9"/>
    <w:qFormat/>
    <w:rsid w:val="00841CD9"/>
    <w:pPr>
      <w:keepNext/>
      <w:keepLines/>
      <w:spacing w:before="480"/>
      <w:outlineLvl w:val="0"/>
    </w:pPr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841CD9"/>
    <w:pPr>
      <w:keepNext/>
      <w:keepLines/>
      <w:spacing w:before="200"/>
      <w:outlineLvl w:val="1"/>
    </w:pPr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841CD9"/>
    <w:pPr>
      <w:keepNext/>
      <w:keepLines/>
      <w:spacing w:before="200"/>
      <w:outlineLvl w:val="2"/>
    </w:pPr>
    <w:rPr>
      <w:rFonts w:asciiTheme="majorHAnsi" w:hAnsiTheme="majorHAnsi" w:eastAsiaTheme="majorEastAsia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841CD9"/>
    <w:pPr>
      <w:keepNext/>
      <w:keepLines/>
      <w:spacing w:before="200"/>
      <w:outlineLvl w:val="3"/>
    </w:pPr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character" w:styleId="DefaultParagraphFont" w:default="true">
    <w:name w:val="Default Paragraph Font"/>
    <w:uiPriority w:val="1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41CD9"/>
    <w:pPr>
      <w:tabs>
        <w:tab w:val="center" w:pos="4680"/>
        <w:tab w:val="right" w:pos="9360"/>
      </w:tabs>
    </w:pPr>
  </w:style>
  <w:style w:type="character" w:styleId="HeaderChar" w:customStyle="true">
    <w:name w:val="Header Char"/>
    <w:basedOn w:val="DefaultParagraphFont"/>
    <w:link w:val="Header"/>
    <w:uiPriority w:val="99"/>
    <w:rsid w:val="00841CD9"/>
  </w:style>
  <w:style w:type="character" w:styleId="Heading1Char" w:customStyle="true">
    <w:name w:val="Heading 1 Char"/>
    <w:basedOn w:val="DefaultParagraphFont"/>
    <w:link w:val="Heading1"/>
    <w:uiPriority w:val="9"/>
    <w:rsid w:val="00841CD9"/>
    <w:rPr>
      <w:rFonts w:asciiTheme="majorHAnsi" w:hAnsiTheme="majorHAnsi" w:eastAsiaTheme="majorEastAsia" w:cstheme="majorBidi"/>
      <w:b/>
      <w:bCs/>
      <w:color w:val="365F91" w:themeColor="accent1" w:themeShade="BF"/>
      <w:sz w:val="28"/>
      <w:szCs w:val="28"/>
    </w:rPr>
  </w:style>
  <w:style w:type="character" w:styleId="Heading2Char" w:customStyle="true">
    <w:name w:val="Heading 2 Char"/>
    <w:basedOn w:val="DefaultParagraphFont"/>
    <w:link w:val="Heading2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  <w:sz w:val="26"/>
      <w:szCs w:val="26"/>
    </w:rPr>
  </w:style>
  <w:style w:type="character" w:styleId="Heading3Char" w:customStyle="true">
    <w:name w:val="Heading 3 Char"/>
    <w:basedOn w:val="DefaultParagraphFont"/>
    <w:link w:val="Heading3"/>
    <w:uiPriority w:val="9"/>
    <w:rsid w:val="00841CD9"/>
    <w:rPr>
      <w:rFonts w:asciiTheme="majorHAnsi" w:hAnsiTheme="majorHAnsi" w:eastAsiaTheme="majorEastAsia" w:cstheme="majorBidi"/>
      <w:b/>
      <w:bCs/>
      <w:color w:val="4F81BD" w:themeColor="accent1"/>
    </w:rPr>
  </w:style>
  <w:style w:type="character" w:styleId="Heading4Char" w:customStyle="true">
    <w:name w:val="Heading 4 Char"/>
    <w:basedOn w:val="DefaultParagraphFont"/>
    <w:link w:val="Heading4"/>
    <w:uiPriority w:val="9"/>
    <w:rsid w:val="00841CD9"/>
    <w:rPr>
      <w:rFonts w:asciiTheme="majorHAnsi" w:hAnsiTheme="majorHAnsi" w:eastAsiaTheme="majorEastAsia" w:cstheme="majorBidi"/>
      <w:b/>
      <w:bCs/>
      <w:i/>
      <w:iCs/>
      <w:color w:val="4F81BD" w:themeColor="accent1"/>
    </w:rPr>
  </w:style>
  <w:style w:type="paragraph" w:styleId="NormalIndent">
    <w:name w:val="Normal Indent"/>
    <w:basedOn w:val="Normal"/>
    <w:uiPriority w:val="99"/>
    <w:unhideWhenUsed/>
    <w:rsid w:val="00841CD9"/>
    <w:pPr>
      <w:ind w:left="720"/>
    </w:pPr>
  </w:style>
  <w:style w:type="paragraph" w:styleId="Subtitle">
    <w:name w:val="Subtitle"/>
    <w:basedOn w:val="Normal"/>
    <w:next w:val="Normal"/>
    <w:link w:val="SubtitleChar"/>
    <w:uiPriority w:val="11"/>
    <w:qFormat/>
    <w:rsid w:val="00841CD9"/>
    <w:pPr>
      <w:numPr>
        <w:ilvl w:val="1"/>
      </w:numPr>
      <w:ind w:left="86"/>
    </w:pPr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character" w:styleId="SubtitleChar" w:customStyle="true">
    <w:name w:val="Subtitle Char"/>
    <w:basedOn w:val="DefaultParagraphFont"/>
    <w:link w:val="Subtitle"/>
    <w:uiPriority w:val="11"/>
    <w:rsid w:val="00841CD9"/>
    <w:rPr>
      <w:rFonts w:asciiTheme="majorHAnsi" w:hAnsiTheme="majorHAnsi" w:eastAsiaTheme="majorEastAsia" w:cstheme="majorBidi"/>
      <w:i/>
      <w:iCs/>
      <w:color w:val="4F81BD" w:themeColor="accent1"/>
      <w:spacing w:val="15"/>
      <w:sz w:val="24"/>
      <w:szCs w:val="24"/>
    </w:rPr>
  </w:style>
  <w:style w:type="paragraph" w:styleId="Title">
    <w:name w:val="Title"/>
    <w:basedOn w:val="Normal"/>
    <w:next w:val="Normal"/>
    <w:link w:val="TitleChar"/>
    <w:uiPriority w:val="10"/>
    <w:qFormat/>
    <w:rsid w:val="00841CD9"/>
    <w:pPr>
      <w:pBdr>
        <w:bottom w:val="single" w:color="4F81BD" w:themeColor="accent1" w:sz="8" w:space="4"/>
      </w:pBdr>
      <w:spacing w:after="300"/>
      <w:contextualSpacing/>
    </w:pPr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TitleChar" w:customStyle="true">
    <w:name w:val="Title Char"/>
    <w:basedOn w:val="DefaultParagraphFont"/>
    <w:link w:val="Title"/>
    <w:uiPriority w:val="10"/>
    <w:rsid w:val="00841CD9"/>
    <w:rPr>
      <w:rFonts w:asciiTheme="majorHAnsi" w:hAnsiTheme="majorHAnsi" w:eastAsiaTheme="majorEastAsia" w:cstheme="majorBidi"/>
      <w:color w:val="17365D" w:themeColor="text2" w:themeShade="BF"/>
      <w:spacing w:val="5"/>
      <w:kern w:val="28"/>
      <w:sz w:val="52"/>
      <w:szCs w:val="52"/>
    </w:rPr>
  </w:style>
  <w:style w:type="character" w:styleId="Emphasis">
    <w:name w:val="Emphasis"/>
    <w:basedOn w:val="DefaultParagraphFont"/>
    <w:uiPriority w:val="20"/>
    <w:qFormat/>
    <w:rsid w:val="00D1197D"/>
    <w:rPr>
      <w:i/>
      <w:iCs/>
    </w:rPr>
  </w:style>
  <w:style w:type="character" w:styleId="Hyperlink">
    <w:name w:val="Hyperlink"/>
    <w:basedOn w:val="DefaultParagraphFont"/>
    <w:uiPriority w:val="99"/>
    <w:unhideWhenUsed/>
    <w:rPr>
      <w:color w:val="0000FF" w:themeColor="hyperlink"/>
      <w:u w:val="single"/>
    </w:rPr>
  </w:style>
  <w:style w:type="table" w:styleId="TableGrid">
    <w:name w:val="Table Grid"/>
    <w:basedOn w:val="TableNormal"/>
    <w:uiPriority w:val="59"/>
    <w:pPr>
      <w:spacing w:after="0" w:line="240" w:lineRule="auto"/>
    </w:pPr>
    <w:tblPr>
      <w:tblInd w:w="0" w:type="dxa"/>
      <w:tblBorders>
        <w:top w:val="single" w:color="000000" w:themeColor="text1" w:sz="4" w:space="0"/>
        <w:left w:val="single" w:color="000000" w:themeColor="text1" w:sz="4" w:space="0"/>
        <w:bottom w:val="single" w:color="000000" w:themeColor="text1" w:sz="4" w:space="0"/>
        <w:right w:val="single" w:color="000000" w:themeColor="text1" w:sz="4" w:space="0"/>
        <w:insideH w:val="single" w:color="000000" w:themeColor="text1" w:sz="4" w:space="0"/>
        <w:insideV w:val="single" w:color="000000" w:themeColor="text1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TableNormal" w:default="true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styleId="Caption">
    <w:name w:val="caption"/>
    <w:basedOn w:val="Normal"/>
    <w:next w:val="Normal"/>
    <w:uiPriority w:val="35"/>
    <w:semiHidden/>
    <w:unhideWhenUsed/>
    <w:qFormat/>
    <w:rsid w:val="007109C0"/>
    <w:pPr>
      <w:spacing w:line="240" w:lineRule="auto"/>
    </w:pPr>
    <w:rPr>
      <w:b/>
      <w:bCs/>
      <w:color w:val="4F81BD" w:themeColor="accent1"/>
      <w:sz w:val="18"/>
      <w:szCs w:val="18"/>
    </w:rPr>
  </w:style>
</w:styles>
</file>

<file path=word/_rels/document.xml.rels><?xml version="1.0" encoding="UTF-8" standalone="yes"?>
<Relationships xmlns="http://schemas.openxmlformats.org/package/2006/relationships">
    <Relationship Target="styles.xml" Type="http://schemas.openxmlformats.org/officeDocument/2006/relationships/styles" Id="rId1"/>
    <Relationship Target="settings.xml" Type="http://schemas.openxmlformats.org/officeDocument/2006/relationships/settings" Id="rId2"/>
    <Relationship Target="numbering.xml" Type="http://schemas.openxmlformats.org/officeDocument/2006/relationships/numbering" Id="rId3"/>
</Relationships>

</file>

<file path=docProps/app.xml><?xml version="1.0" encoding="utf-8"?>
<properties:Properties xmlns:vt="http://schemas.openxmlformats.org/officeDocument/2006/docPropsVTypes" xmlns:properties="http://schemas.openxmlformats.org/officeDocument/2006/extended-properties"/>
</file>

<file path=docProps/core.xml><?xml version="1.0" encoding="utf-8"?>
<cp:coreProperties xmlns:cp="http://schemas.openxmlformats.org/package/2006/metadata/core-properties" xmlns:dcterms="http://purl.org/dc/terms/" xmlns:dc="http://purl.org/dc/elements/1.1/"/>
</file>